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68" w:rsidRPr="00D93533" w:rsidRDefault="00E00768" w:rsidP="00E00768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  <w:r w:rsidRPr="00D93533">
        <w:rPr>
          <w:color w:val="000000"/>
        </w:rPr>
        <w:t xml:space="preserve">Таблица 1. </w:t>
      </w:r>
    </w:p>
    <w:p w:rsidR="00E00768" w:rsidRPr="00D93533" w:rsidRDefault="00E00768" w:rsidP="00E00768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color w:val="000000"/>
        </w:rPr>
      </w:pPr>
      <w:r w:rsidRPr="00D93533">
        <w:rPr>
          <w:color w:val="000000"/>
        </w:rPr>
        <w:t>Двухсекторная модель экономики Казахстана за 2017 год (сектор1 – нефтегазовый сектор, сектор 2 – остальные отрасли, млн</w:t>
      </w:r>
      <w:proofErr w:type="gramStart"/>
      <w:r w:rsidRPr="00D93533">
        <w:rPr>
          <w:color w:val="000000"/>
        </w:rPr>
        <w:t>.т</w:t>
      </w:r>
      <w:proofErr w:type="gramEnd"/>
      <w:r w:rsidRPr="00D93533">
        <w:rPr>
          <w:color w:val="000000"/>
        </w:rPr>
        <w:t>енге).</w:t>
      </w:r>
    </w:p>
    <w:p w:rsidR="00E00768" w:rsidRPr="00FD0D8C" w:rsidRDefault="00E00768" w:rsidP="00E00768">
      <w:pPr>
        <w:pStyle w:val="a5"/>
        <w:shd w:val="clear" w:color="auto" w:fill="FFFFFF"/>
        <w:spacing w:before="0" w:beforeAutospacing="0" w:after="0" w:afterAutospacing="0" w:line="480" w:lineRule="auto"/>
        <w:rPr>
          <w:b/>
          <w:i/>
          <w:color w:val="000000"/>
        </w:rPr>
      </w:pPr>
      <w:r w:rsidRPr="00FD0D8C">
        <w:rPr>
          <w:noProof/>
        </w:rPr>
        <w:drawing>
          <wp:inline distT="0" distB="0" distL="0" distR="0">
            <wp:extent cx="9169400" cy="37190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1754" t="25544" r="9700" b="7112"/>
                    <a:stretch/>
                  </pic:blipFill>
                  <pic:spPr bwMode="auto">
                    <a:xfrm>
                      <a:off x="0" y="0"/>
                      <a:ext cx="9168454" cy="3718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16F" w:rsidRDefault="00E00768" w:rsidP="00E00768">
      <w:pPr>
        <w:rPr>
          <w:i/>
          <w:color w:val="000000"/>
        </w:rPr>
      </w:pPr>
      <w:r w:rsidRPr="00F4586E">
        <w:rPr>
          <w:i/>
          <w:color w:val="000000"/>
        </w:rPr>
        <w:t>Источник: разработано автором на основе на основе таблицы «</w:t>
      </w:r>
      <w:proofErr w:type="spellStart"/>
      <w:proofErr w:type="gramStart"/>
      <w:r w:rsidRPr="00F4586E">
        <w:rPr>
          <w:i/>
          <w:color w:val="000000"/>
        </w:rPr>
        <w:t>Затраты-выпуск</w:t>
      </w:r>
      <w:proofErr w:type="spellEnd"/>
      <w:proofErr w:type="gramEnd"/>
      <w:r w:rsidRPr="00F4586E">
        <w:rPr>
          <w:i/>
          <w:color w:val="000000"/>
        </w:rPr>
        <w:t xml:space="preserve">» межотраслевого баланса (МОБ) по данным официальной статистической информации Комитета по статистике МНЭ РК  </w:t>
      </w:r>
    </w:p>
    <w:p w:rsidR="00E00768" w:rsidRDefault="00E00768" w:rsidP="00E00768">
      <w:pPr>
        <w:rPr>
          <w:i/>
          <w:color w:val="000000"/>
        </w:rPr>
      </w:pPr>
    </w:p>
    <w:tbl>
      <w:tblPr>
        <w:tblW w:w="14068" w:type="dxa"/>
        <w:tblInd w:w="108" w:type="dxa"/>
        <w:tblLayout w:type="fixed"/>
        <w:tblLook w:val="04A0"/>
      </w:tblPr>
      <w:tblGrid>
        <w:gridCol w:w="1276"/>
        <w:gridCol w:w="850"/>
        <w:gridCol w:w="833"/>
        <w:gridCol w:w="869"/>
        <w:gridCol w:w="1151"/>
        <w:gridCol w:w="993"/>
        <w:gridCol w:w="992"/>
        <w:gridCol w:w="1134"/>
        <w:gridCol w:w="833"/>
        <w:gridCol w:w="833"/>
        <w:gridCol w:w="833"/>
        <w:gridCol w:w="885"/>
        <w:gridCol w:w="850"/>
        <w:gridCol w:w="851"/>
        <w:gridCol w:w="885"/>
      </w:tblGrid>
      <w:tr w:rsidR="00E00768" w:rsidRPr="00E00768" w:rsidTr="00E00768">
        <w:trPr>
          <w:trHeight w:val="154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38100</wp:posOffset>
                  </wp:positionV>
                  <wp:extent cx="609600" cy="209550"/>
                  <wp:effectExtent l="0" t="0" r="0" b="0"/>
                  <wp:wrapNone/>
                  <wp:docPr id="4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38150" y="44450"/>
                            <a:ext cx="561975" cy="190500"/>
                            <a:chOff x="438150" y="44450"/>
                            <a:chExt cx="561975" cy="190500"/>
                          </a:xfrm>
                        </a:grpSpPr>
                        <a:sp>
                          <a:nvSpPr>
                            <a:cNvPr id="5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38150" y="44450"/>
                              <a:ext cx="5905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Отрасль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E00768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2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2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700" y="765175"/>
                              <a:ext cx="5524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E00768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700" y="765175"/>
                              <a:ext cx="5524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E00768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6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920750" y="21891625"/>
                              <a:ext cx="552450" cy="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0"/>
            </w:tblGrid>
            <w:tr w:rsidR="00E00768" w:rsidRPr="00E00768" w:rsidTr="00E00768">
              <w:trPr>
                <w:trHeight w:val="1549"/>
                <w:tblCellSpacing w:w="0" w:type="dxa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0768" w:rsidRPr="00E00768" w:rsidRDefault="00E00768" w:rsidP="00E007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E0076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Использование продукции в отраслях экономики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домашних хозяйств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органов государственного управления,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НКООДХ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Конечное потребление, всего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Валовое накопление основного капитала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запасов материальных оборотных средств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минус выбытие ценностей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Валовое накопление,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Экспорт товаров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Конечный спрос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Общий спрос на товары и услуги</w:t>
            </w:r>
          </w:p>
        </w:tc>
      </w:tr>
      <w:tr w:rsidR="00E00768" w:rsidRPr="00E00768" w:rsidTr="00E00768">
        <w:trPr>
          <w:trHeight w:val="5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2 170 732 626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5 374 541 232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7 545 273 858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2 129 068 352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757 066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2 129 825 418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8 490 245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1 330 475 264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1 338 965 509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10 318 414 538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13 787 205 465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21 332 479 323</w:t>
            </w:r>
          </w:p>
        </w:tc>
      </w:tr>
      <w:tr w:rsidR="00E00768" w:rsidRPr="00E00768" w:rsidTr="00E00768">
        <w:trPr>
          <w:trHeight w:val="3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3 869 282 621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23 621 845 292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27 491 127 913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24 914 360 348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5 743 419 712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593 141 300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31 250 921 360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11 526 169 818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1 152 502 136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1 630 083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12 680 302 037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7 926 021 562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51 857 244 959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79 348 372 872</w:t>
            </w:r>
          </w:p>
        </w:tc>
      </w:tr>
      <w:tr w:rsidR="00E00768" w:rsidRPr="00E00768" w:rsidTr="00E00768">
        <w:trPr>
          <w:trHeight w:val="34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6 040 015 247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28 996 386 524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35 036 401 771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27 043 428 700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5 744 176 778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593 141 300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33 380 746 778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11 534 660 063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2 482 977 400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1 630 083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14 019 267 546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18 244 436 100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65 644 450 424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100 680 852 195</w:t>
            </w:r>
          </w:p>
        </w:tc>
      </w:tr>
      <w:tr w:rsidR="00E00768" w:rsidRPr="00E00768" w:rsidTr="00E00768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1 056 071 993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14 714 055 865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15 770 127 858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6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налоги на производство за вычетом субсидий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291 176 970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310 281 544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601 458 514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Потребление основного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1 630 272 804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3 958 488 837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5 588 761 641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4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Прибыль, смешанный доход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3 992 913 147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22 515 583 454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26 508 496 601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72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Валовая добавленная стоимость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6 970 434 914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41 498 409 700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48 468 844 614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529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Выпуск в основных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13 010 450 161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70 494 796 224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83 505 246 385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4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Импорт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2 813 231 804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11 133 185 796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13 946 417 600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Чистые налоги на 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1 517 701 313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1 711 486 897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3 229 188 210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Наценки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4 006 199 048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-4 006 199 048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00768" w:rsidRPr="00E00768" w:rsidTr="00E00768">
        <w:trPr>
          <w:trHeight w:val="49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Ресурсы в ценах покупателя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21 347 582 326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79 333 269 869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7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100 680 852 195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768" w:rsidRPr="00E00768" w:rsidRDefault="00E00768" w:rsidP="00E00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768" w:rsidRPr="00E00768" w:rsidRDefault="00E00768" w:rsidP="00E00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00768" w:rsidRPr="00E00768" w:rsidRDefault="00E00768" w:rsidP="00E00768">
      <w:pPr>
        <w:rPr>
          <w:sz w:val="16"/>
          <w:szCs w:val="16"/>
        </w:rPr>
      </w:pPr>
    </w:p>
    <w:sectPr w:rsidR="00E00768" w:rsidRPr="00E00768" w:rsidSect="00E007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56868"/>
    <w:rsid w:val="00056868"/>
    <w:rsid w:val="004938D4"/>
    <w:rsid w:val="00861DAB"/>
    <w:rsid w:val="009560AA"/>
    <w:rsid w:val="009D316F"/>
    <w:rsid w:val="00E00768"/>
    <w:rsid w:val="00F617A4"/>
    <w:rsid w:val="00F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2019-09-03T19:24:00Z</dcterms:created>
  <dcterms:modified xsi:type="dcterms:W3CDTF">2019-09-03T19:25:00Z</dcterms:modified>
</cp:coreProperties>
</file>