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F82" w:rsidRDefault="00934F82" w:rsidP="00934F8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4F82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4844940" cy="3267987"/>
            <wp:effectExtent l="19050" t="0" r="12810" b="8613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934F82" w:rsidRDefault="00934F82" w:rsidP="00934F82">
      <w:pPr>
        <w:spacing w:after="0"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FD0D8C">
        <w:rPr>
          <w:rFonts w:ascii="Times New Roman" w:hAnsi="Times New Roman" w:cs="Times New Roman"/>
          <w:i/>
          <w:sz w:val="24"/>
          <w:szCs w:val="24"/>
        </w:rPr>
        <w:t>Разработано автором по отчетам ВЭФ по ГИК стран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Pr="00841B04">
          <w:rPr>
            <w:rStyle w:val="a5"/>
            <w:rFonts w:ascii="Times New Roman" w:hAnsi="Times New Roman" w:cs="Times New Roman"/>
            <w:i/>
            <w:sz w:val="24"/>
            <w:szCs w:val="24"/>
          </w:rPr>
          <w:t>https://www.weforum.org/</w:t>
        </w:r>
      </w:hyperlink>
    </w:p>
    <w:p w:rsidR="00934F82" w:rsidRPr="00FD0D8C" w:rsidRDefault="00934F82" w:rsidP="00934F8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D8C">
        <w:rPr>
          <w:rFonts w:ascii="Times New Roman" w:hAnsi="Times New Roman" w:cs="Times New Roman"/>
          <w:b/>
          <w:sz w:val="24"/>
          <w:szCs w:val="24"/>
        </w:rPr>
        <w:t>Рис. 1. Диаграмма динамики изменения показателей, входящих индекс глобальной конкурентоспособности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(Республика Казахстан)</w:t>
      </w:r>
    </w:p>
    <w:p w:rsidR="00934F82" w:rsidRDefault="00934F82" w:rsidP="00934F82">
      <w:r>
        <w:t>Исходные данные для диаграммы</w:t>
      </w:r>
    </w:p>
    <w:tbl>
      <w:tblPr>
        <w:tblW w:w="6163" w:type="dxa"/>
        <w:jc w:val="center"/>
        <w:tblInd w:w="-703" w:type="dxa"/>
        <w:tblLook w:val="04A0"/>
      </w:tblPr>
      <w:tblGrid>
        <w:gridCol w:w="3283"/>
        <w:gridCol w:w="960"/>
        <w:gridCol w:w="960"/>
        <w:gridCol w:w="960"/>
      </w:tblGrid>
      <w:tr w:rsidR="00934F82" w:rsidRPr="00934F82" w:rsidTr="00934F82">
        <w:trPr>
          <w:trHeight w:val="300"/>
          <w:jc w:val="center"/>
        </w:trPr>
        <w:tc>
          <w:tcPr>
            <w:tcW w:w="3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34F82" w:rsidRPr="00934F82" w:rsidRDefault="00934F82" w:rsidP="00934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</w:t>
            </w:r>
          </w:p>
        </w:tc>
      </w:tr>
      <w:tr w:rsidR="00934F82" w:rsidRPr="00934F82" w:rsidTr="00934F82">
        <w:trPr>
          <w:trHeight w:val="363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Качество институтов.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934F82" w:rsidRPr="00934F82" w:rsidTr="00934F82">
        <w:trPr>
          <w:trHeight w:val="315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Инфраструктура.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934F82" w:rsidRPr="00934F82" w:rsidTr="00934F82">
        <w:trPr>
          <w:trHeight w:val="615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Макроэкономическая стабильность.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</w:tr>
      <w:tr w:rsidR="00934F82" w:rsidRPr="00934F82" w:rsidTr="00934F82">
        <w:trPr>
          <w:trHeight w:val="275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Здоровье и начальное образование.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934F82" w:rsidRPr="00934F82" w:rsidTr="00934F82">
        <w:trPr>
          <w:trHeight w:val="551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 образование и проф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подготовка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934F82" w:rsidRPr="00934F82" w:rsidTr="00934F82">
        <w:trPr>
          <w:trHeight w:val="553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Эффективность рынка товаров и услуг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934F82" w:rsidRPr="00934F82" w:rsidTr="00934F82">
        <w:trPr>
          <w:trHeight w:val="270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Эффективность рынка труда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934F82" w:rsidRPr="00934F82" w:rsidTr="00934F82">
        <w:trPr>
          <w:trHeight w:val="390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Развитость финансового рынка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934F82" w:rsidRPr="00934F82" w:rsidTr="00934F82">
        <w:trPr>
          <w:trHeight w:val="409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Технологическая готовность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</w:tr>
      <w:tr w:rsidR="00934F82" w:rsidRPr="00934F82" w:rsidTr="00934F82">
        <w:trPr>
          <w:trHeight w:val="387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внутреннего рынка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934F82" w:rsidRPr="00934F82" w:rsidTr="00934F82">
        <w:trPr>
          <w:trHeight w:val="479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Конкурентоспособность компаний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</w:tr>
      <w:tr w:rsidR="00934F82" w:rsidRPr="00934F82" w:rsidTr="00934F82">
        <w:trPr>
          <w:trHeight w:val="417"/>
          <w:jc w:val="center"/>
        </w:trPr>
        <w:tc>
          <w:tcPr>
            <w:tcW w:w="3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Инновационный потенциал.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34F82" w:rsidRPr="00934F82" w:rsidRDefault="00934F82" w:rsidP="0093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34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</w:tbl>
    <w:p w:rsidR="00934F82" w:rsidRPr="00934F82" w:rsidRDefault="00934F82" w:rsidP="00934F82"/>
    <w:sectPr w:rsidR="00934F82" w:rsidRPr="00934F82" w:rsidSect="00F61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34F82"/>
    <w:rsid w:val="004938D4"/>
    <w:rsid w:val="00934F82"/>
    <w:rsid w:val="009560AA"/>
    <w:rsid w:val="00E47C15"/>
    <w:rsid w:val="00F61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4F82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34F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eforum.org/" TargetMode="Externa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1044;&#1083;&#1103;%205-&#1086;&#1081;%20&#1082;&#1086;&#1085;&#1092;&#1077;&#1088;&#1077;&#1085;&#1094;&#1080;&#1080;\&#1050;&#1085;&#1080;&#1075;&#1072;31%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radarChart>
        <c:radarStyle val="marker"/>
        <c:ser>
          <c:idx val="0"/>
          <c:order val="0"/>
          <c:tx>
            <c:strRef>
              <c:f>Лист3!$C$2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Лист3!$B$3:$B$14</c:f>
              <c:strCache>
                <c:ptCount val="12"/>
                <c:pt idx="0">
                  <c:v>Качество институтов.</c:v>
                </c:pt>
                <c:pt idx="1">
                  <c:v>Инфраструктура.</c:v>
                </c:pt>
                <c:pt idx="2">
                  <c:v>Макроэкономическая стабильность.</c:v>
                </c:pt>
                <c:pt idx="3">
                  <c:v>Здоровье и начальное образование.</c:v>
                </c:pt>
                <c:pt idx="4">
                  <c:v>Высшее образование и профессиональная подготовка</c:v>
                </c:pt>
                <c:pt idx="5">
                  <c:v>Эффективность рынка товаров и услуг</c:v>
                </c:pt>
                <c:pt idx="6">
                  <c:v>Эффективность рынка труда</c:v>
                </c:pt>
                <c:pt idx="7">
                  <c:v>Развитость финансового рынка</c:v>
                </c:pt>
                <c:pt idx="8">
                  <c:v>Технологическая готовность</c:v>
                </c:pt>
                <c:pt idx="9">
                  <c:v>Размер внутреннего рынка</c:v>
                </c:pt>
                <c:pt idx="10">
                  <c:v>Конкурентоспособность компаний</c:v>
                </c:pt>
                <c:pt idx="11">
                  <c:v>Инновационный потенциал.</c:v>
                </c:pt>
              </c:strCache>
            </c:strRef>
          </c:cat>
          <c:val>
            <c:numRef>
              <c:f>Лист3!$C$3:$C$14</c:f>
              <c:numCache>
                <c:formatCode>General</c:formatCode>
                <c:ptCount val="12"/>
                <c:pt idx="0">
                  <c:v>50</c:v>
                </c:pt>
                <c:pt idx="1">
                  <c:v>58</c:v>
                </c:pt>
                <c:pt idx="2">
                  <c:v>25</c:v>
                </c:pt>
                <c:pt idx="3">
                  <c:v>93</c:v>
                </c:pt>
                <c:pt idx="4">
                  <c:v>60</c:v>
                </c:pt>
                <c:pt idx="5">
                  <c:v>49</c:v>
                </c:pt>
                <c:pt idx="6">
                  <c:v>18</c:v>
                </c:pt>
                <c:pt idx="7">
                  <c:v>61</c:v>
                </c:pt>
                <c:pt idx="8">
                  <c:v>61</c:v>
                </c:pt>
                <c:pt idx="9">
                  <c:v>46</c:v>
                </c:pt>
                <c:pt idx="10">
                  <c:v>79</c:v>
                </c:pt>
                <c:pt idx="11">
                  <c:v>72</c:v>
                </c:pt>
              </c:numCache>
            </c:numRef>
          </c:val>
        </c:ser>
        <c:ser>
          <c:idx val="1"/>
          <c:order val="1"/>
          <c:tx>
            <c:strRef>
              <c:f>Лист3!$D$2</c:f>
              <c:strCache>
                <c:ptCount val="1"/>
                <c:pt idx="0">
                  <c:v>2017</c:v>
                </c:pt>
              </c:strCache>
            </c:strRef>
          </c:tx>
          <c:spPr>
            <a:ln>
              <a:solidFill>
                <a:schemeClr val="accent6">
                  <a:lumMod val="60000"/>
                  <a:lumOff val="40000"/>
                </a:schemeClr>
              </a:solidFill>
            </a:ln>
          </c:spPr>
          <c:marker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</c:marker>
          <c:cat>
            <c:strRef>
              <c:f>Лист3!$B$3:$B$14</c:f>
              <c:strCache>
                <c:ptCount val="12"/>
                <c:pt idx="0">
                  <c:v>Качество институтов.</c:v>
                </c:pt>
                <c:pt idx="1">
                  <c:v>Инфраструктура.</c:v>
                </c:pt>
                <c:pt idx="2">
                  <c:v>Макроэкономическая стабильность.</c:v>
                </c:pt>
                <c:pt idx="3">
                  <c:v>Здоровье и начальное образование.</c:v>
                </c:pt>
                <c:pt idx="4">
                  <c:v>Высшее образование и профессиональная подготовка</c:v>
                </c:pt>
                <c:pt idx="5">
                  <c:v>Эффективность рынка товаров и услуг</c:v>
                </c:pt>
                <c:pt idx="6">
                  <c:v>Эффективность рынка труда</c:v>
                </c:pt>
                <c:pt idx="7">
                  <c:v>Развитость финансового рынка</c:v>
                </c:pt>
                <c:pt idx="8">
                  <c:v>Технологическая готовность</c:v>
                </c:pt>
                <c:pt idx="9">
                  <c:v>Размер внутреннего рынка</c:v>
                </c:pt>
                <c:pt idx="10">
                  <c:v>Конкурентоспособность компаний</c:v>
                </c:pt>
                <c:pt idx="11">
                  <c:v>Инновационный потенциал.</c:v>
                </c:pt>
              </c:strCache>
            </c:strRef>
          </c:cat>
          <c:val>
            <c:numRef>
              <c:f>Лист3!$D$3:$D$14</c:f>
              <c:numCache>
                <c:formatCode>General</c:formatCode>
                <c:ptCount val="12"/>
                <c:pt idx="0">
                  <c:v>49</c:v>
                </c:pt>
                <c:pt idx="1">
                  <c:v>63</c:v>
                </c:pt>
                <c:pt idx="2">
                  <c:v>69</c:v>
                </c:pt>
                <c:pt idx="3">
                  <c:v>94</c:v>
                </c:pt>
                <c:pt idx="4">
                  <c:v>57</c:v>
                </c:pt>
                <c:pt idx="5">
                  <c:v>62</c:v>
                </c:pt>
                <c:pt idx="6">
                  <c:v>20</c:v>
                </c:pt>
                <c:pt idx="7">
                  <c:v>104</c:v>
                </c:pt>
                <c:pt idx="8">
                  <c:v>56</c:v>
                </c:pt>
                <c:pt idx="9">
                  <c:v>45</c:v>
                </c:pt>
                <c:pt idx="10">
                  <c:v>97</c:v>
                </c:pt>
                <c:pt idx="11">
                  <c:v>59</c:v>
                </c:pt>
              </c:numCache>
            </c:numRef>
          </c:val>
        </c:ser>
        <c:ser>
          <c:idx val="2"/>
          <c:order val="2"/>
          <c:tx>
            <c:strRef>
              <c:f>Лист3!$E$2</c:f>
              <c:strCache>
                <c:ptCount val="1"/>
                <c:pt idx="0">
                  <c:v>2018</c:v>
                </c:pt>
              </c:strCache>
            </c:strRef>
          </c:tx>
          <c:spPr>
            <a:ln w="19050"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 w="19050"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1.9117646426333408E-2"/>
                  <c:y val="5.8995141527785025E-2"/>
                </c:manualLayout>
              </c:layout>
              <c:showVal val="1"/>
            </c:dLbl>
            <c:dLbl>
              <c:idx val="2"/>
              <c:layout>
                <c:manualLayout>
                  <c:x val="-1.7752100253023987E-2"/>
                  <c:y val="4.2139386805560765E-2"/>
                </c:manualLayout>
              </c:layout>
              <c:showVal val="1"/>
            </c:dLbl>
            <c:dLbl>
              <c:idx val="3"/>
              <c:layout>
                <c:manualLayout>
                  <c:x val="4.5063023719214584E-2"/>
                  <c:y val="-4.213938680556078E-3"/>
                </c:manualLayout>
              </c:layout>
              <c:showVal val="1"/>
            </c:dLbl>
            <c:dLbl>
              <c:idx val="5"/>
              <c:layout>
                <c:manualLayout>
                  <c:x val="-4.0966385199285894E-3"/>
                  <c:y val="-4.4246356145838814E-2"/>
                </c:manualLayout>
              </c:layout>
              <c:showVal val="1"/>
            </c:dLbl>
            <c:dLbl>
              <c:idx val="7"/>
              <c:layout>
                <c:manualLayout>
                  <c:x val="4.0966385199286415E-3"/>
                  <c:y val="-2.7390601423614502E-2"/>
                </c:manualLayout>
              </c:layout>
              <c:showVal val="1"/>
            </c:dLbl>
            <c:dLbl>
              <c:idx val="8"/>
              <c:layout>
                <c:manualLayout>
                  <c:x val="1.228991555978576E-2"/>
                  <c:y val="-2.1069693402780382E-2"/>
                </c:manualLayout>
              </c:layout>
              <c:showVal val="1"/>
            </c:dLbl>
            <c:dLbl>
              <c:idx val="10"/>
              <c:layout>
                <c:manualLayout>
                  <c:x val="4.7481646068623781E-3"/>
                  <c:y val="6.2256451520202344E-2"/>
                </c:manualLayout>
              </c:layout>
              <c:showVal val="1"/>
            </c:dLbl>
            <c:dLbl>
              <c:idx val="11"/>
              <c:layout>
                <c:manualLayout>
                  <c:x val="4.0966385199285383E-3"/>
                  <c:y val="4.2139386805560765E-2"/>
                </c:manualLayout>
              </c:layout>
              <c:showVal val="1"/>
            </c:dLbl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showVal val="1"/>
          </c:dLbls>
          <c:cat>
            <c:strRef>
              <c:f>Лист3!$B$3:$B$14</c:f>
              <c:strCache>
                <c:ptCount val="12"/>
                <c:pt idx="0">
                  <c:v>Качество институтов.</c:v>
                </c:pt>
                <c:pt idx="1">
                  <c:v>Инфраструктура.</c:v>
                </c:pt>
                <c:pt idx="2">
                  <c:v>Макроэкономическая стабильность.</c:v>
                </c:pt>
                <c:pt idx="3">
                  <c:v>Здоровье и начальное образование.</c:v>
                </c:pt>
                <c:pt idx="4">
                  <c:v>Высшее образование и профессиональная подготовка</c:v>
                </c:pt>
                <c:pt idx="5">
                  <c:v>Эффективность рынка товаров и услуг</c:v>
                </c:pt>
                <c:pt idx="6">
                  <c:v>Эффективность рынка труда</c:v>
                </c:pt>
                <c:pt idx="7">
                  <c:v>Развитость финансового рынка</c:v>
                </c:pt>
                <c:pt idx="8">
                  <c:v>Технологическая готовность</c:v>
                </c:pt>
                <c:pt idx="9">
                  <c:v>Размер внутреннего рынка</c:v>
                </c:pt>
                <c:pt idx="10">
                  <c:v>Конкурентоспособность компаний</c:v>
                </c:pt>
                <c:pt idx="11">
                  <c:v>Инновационный потенциал.</c:v>
                </c:pt>
              </c:strCache>
            </c:strRef>
          </c:cat>
          <c:val>
            <c:numRef>
              <c:f>Лист3!$E$3:$E$14</c:f>
              <c:numCache>
                <c:formatCode>General</c:formatCode>
                <c:ptCount val="12"/>
                <c:pt idx="0">
                  <c:v>60</c:v>
                </c:pt>
                <c:pt idx="1">
                  <c:v>68</c:v>
                </c:pt>
                <c:pt idx="2">
                  <c:v>98</c:v>
                </c:pt>
                <c:pt idx="3">
                  <c:v>59</c:v>
                </c:pt>
                <c:pt idx="4">
                  <c:v>56</c:v>
                </c:pt>
                <c:pt idx="5">
                  <c:v>72</c:v>
                </c:pt>
                <c:pt idx="6">
                  <c:v>35</c:v>
                </c:pt>
                <c:pt idx="7">
                  <c:v>100</c:v>
                </c:pt>
                <c:pt idx="8">
                  <c:v>95</c:v>
                </c:pt>
                <c:pt idx="9">
                  <c:v>43</c:v>
                </c:pt>
                <c:pt idx="10">
                  <c:v>108</c:v>
                </c:pt>
                <c:pt idx="11">
                  <c:v>84</c:v>
                </c:pt>
              </c:numCache>
            </c:numRef>
          </c:val>
        </c:ser>
        <c:axId val="74899456"/>
        <c:axId val="74901376"/>
      </c:radarChart>
      <c:catAx>
        <c:axId val="74899456"/>
        <c:scaling>
          <c:orientation val="minMax"/>
        </c:scaling>
        <c:axPos val="b"/>
        <c:majorGridlines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74901376"/>
        <c:crosses val="autoZero"/>
        <c:auto val="1"/>
        <c:lblAlgn val="ctr"/>
        <c:lblOffset val="100"/>
      </c:catAx>
      <c:valAx>
        <c:axId val="74901376"/>
        <c:scaling>
          <c:orientation val="minMax"/>
        </c:scaling>
        <c:axPos val="l"/>
        <c:majorGridlines/>
        <c:numFmt formatCode="General" sourceLinked="1"/>
        <c:majorTickMark val="cross"/>
        <c:tickLblPos val="nextTo"/>
        <c:crossAx val="7489945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57937843036771353"/>
          <c:y val="0.9228363399247187"/>
          <c:w val="0.41766436675752439"/>
          <c:h val="7.3120060520267968E-2"/>
        </c:manualLayout>
      </c:layout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647</Characters>
  <Application>Microsoft Office Word</Application>
  <DocSecurity>0</DocSecurity>
  <Lines>5</Lines>
  <Paragraphs>1</Paragraphs>
  <ScaleCrop>false</ScaleCrop>
  <Company>DG Win&amp;Soft</Company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2019-09-03T11:12:00Z</dcterms:created>
  <dcterms:modified xsi:type="dcterms:W3CDTF">2019-09-03T11:18:00Z</dcterms:modified>
</cp:coreProperties>
</file>